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EEO PUBLIC FILE REPORT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Report covers full-time vacancy recruitment data for the period of June 1st, 2022-May 31st 2024. Placed in the public file on June 3, 2024.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Employment name &amp; Location: Charlottesville, Virginia. Stu-Comm Incorporated.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Call sign and community licenses: WNRN, Charlottesville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EEO Contact Information: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Mailing address: 2250 Old Ivy Road, Suite 2 Charlottesville, VA 22903</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Telephone number: 434-971-4096</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Contact Person: Ann Voss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Email Address: </w:t>
      </w:r>
      <w:r w:rsidDel="00000000" w:rsidR="00000000" w:rsidRPr="00000000">
        <w:rPr>
          <w:rFonts w:ascii="Arial" w:cs="Arial" w:eastAsia="Arial" w:hAnsi="Arial"/>
          <w:b w:val="0"/>
          <w:i w:val="0"/>
          <w:smallCaps w:val="0"/>
          <w:strike w:val="0"/>
          <w:color w:val="000099"/>
          <w:sz w:val="22"/>
          <w:szCs w:val="22"/>
          <w:u w:val="single"/>
          <w:shd w:fill="auto" w:val="clear"/>
          <w:vertAlign w:val="baseline"/>
          <w:rtl w:val="0"/>
        </w:rPr>
        <w:t xml:space="preserve">avoss@wnrn.org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0" w:right="0" w:hanging="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Full-time job vacancies filled in time period covered by report: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Section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time job openings filled during this period: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June 1, 2023 – May 31, 2024</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Job Title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Recruitment Source Referring Hire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Client Services and Traffic Coord</w:t>
        <w:tab/>
        <w:t xml:space="preserve">Facebook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Director </w:t>
        <w:tab/>
        <w:tab/>
        <w:tab/>
      </w:r>
      <w:r w:rsidDel="00000000" w:rsidR="00000000" w:rsidRPr="00000000">
        <w:rPr>
          <w:rFonts w:ascii="Arial" w:cs="Arial" w:eastAsia="Arial" w:hAnsi="Arial"/>
          <w:color w:val="222222"/>
          <w:sz w:val="22"/>
          <w:szCs w:val="22"/>
          <w:highlight w:val="white"/>
          <w:rtl w:val="0"/>
        </w:rPr>
        <w:t xml:space="preserve">Publicmediajobs.org</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of Fundraising</w:t>
        <w:tab/>
        <w:tab/>
        <w:t xml:space="preserve">wnrn.org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Operations Manager     </w:t>
        <w:tab/>
        <w:t xml:space="preserve">    </w:t>
        <w:tab/>
        <w:t xml:space="preserve">wnrn.org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tab/>
        <w:tab/>
        <w:tab/>
        <w:t xml:space="preserve">wnrn.org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Section 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Sources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June 2022 – May 2023</w:t>
      </w:r>
      <w:r w:rsidDel="00000000" w:rsidR="00000000" w:rsidRPr="00000000">
        <w:rPr>
          <w:rtl w:val="0"/>
        </w:rPr>
      </w:r>
    </w:p>
    <w:tbl>
      <w:tblPr>
        <w:tblStyle w:val="Table1"/>
        <w:tblW w:w="9800.0" w:type="dxa"/>
        <w:jc w:val="left"/>
        <w:tblLayout w:type="fixed"/>
        <w:tblLook w:val="0400"/>
      </w:tblPr>
      <w:tblGrid>
        <w:gridCol w:w="5043"/>
        <w:gridCol w:w="1726"/>
        <w:gridCol w:w="3031"/>
        <w:tblGridChange w:id="0">
          <w:tblGrid>
            <w:gridCol w:w="5043"/>
            <w:gridCol w:w="1726"/>
            <w:gridCol w:w="303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source: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Number of Interviewees this source provided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time positions which this source was utilized</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2"/>
        <w:tblW w:w="9570.0" w:type="dxa"/>
        <w:jc w:val="left"/>
        <w:tblLayout w:type="fixed"/>
        <w:tblLook w:val="0400"/>
      </w:tblPr>
      <w:tblGrid>
        <w:gridCol w:w="674"/>
        <w:gridCol w:w="4831"/>
        <w:gridCol w:w="1080"/>
        <w:gridCol w:w="2985"/>
        <w:tblGridChange w:id="0">
          <w:tblGrid>
            <w:gridCol w:w="674"/>
            <w:gridCol w:w="4831"/>
            <w:gridCol w:w="1080"/>
            <w:gridCol w:w="29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Internal posting at WNRN/wnrn.org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0</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0</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Operations Manager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CNE (Center for Non-Profit Excellence)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1701-A Allied Street</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Charlottesville, VA 22903</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434-244-3330 main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5dab"/>
                <w:sz w:val="24"/>
                <w:szCs w:val="24"/>
                <w:highlight w:val="white"/>
                <w:u w:val="none"/>
                <w:vertAlign w:val="baseline"/>
                <w:rtl w:val="0"/>
              </w:rPr>
              <w:t xml:space="preserve">staff@thecne.org</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thecne.org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1">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p w:rsidR="00000000" w:rsidDel="00000000" w:rsidP="00000000" w:rsidRDefault="00000000" w:rsidRPr="00000000" w14:paraId="00000032">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33">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r>
            <w:r w:rsidDel="00000000" w:rsidR="00000000" w:rsidRPr="00000000">
              <w:rPr>
                <w:rtl w:val="0"/>
              </w:rPr>
            </w:r>
          </w:p>
        </w:tc>
      </w:tr>
    </w:tbl>
    <w:p w:rsidR="00000000" w:rsidDel="00000000" w:rsidP="00000000" w:rsidRDefault="00000000" w:rsidRPr="00000000" w14:paraId="00000034">
      <w:pPr>
        <w:rPr>
          <w:rFonts w:ascii="Arial" w:cs="Arial" w:eastAsia="Arial" w:hAnsi="Arial"/>
        </w:rPr>
      </w:pPr>
      <w:r w:rsidDel="00000000" w:rsidR="00000000" w:rsidRPr="00000000">
        <w:rPr>
          <w:rtl w:val="0"/>
        </w:rPr>
      </w:r>
    </w:p>
    <w:tbl>
      <w:tblPr>
        <w:tblStyle w:val="Table3"/>
        <w:tblW w:w="9525.0" w:type="dxa"/>
        <w:jc w:val="left"/>
        <w:tblLayout w:type="fixed"/>
        <w:tblLook w:val="0400"/>
      </w:tblPr>
      <w:tblGrid>
        <w:gridCol w:w="780"/>
        <w:gridCol w:w="4785"/>
        <w:gridCol w:w="975"/>
        <w:gridCol w:w="2985"/>
        <w:tblGridChange w:id="0">
          <w:tblGrid>
            <w:gridCol w:w="780"/>
            <w:gridCol w:w="4785"/>
            <w:gridCol w:w="975"/>
            <w:gridCol w:w="29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Foundation for a Greater Richmond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Connectva.org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E">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p w:rsidR="00000000" w:rsidDel="00000000" w:rsidP="00000000" w:rsidRDefault="00000000" w:rsidRPr="00000000" w14:paraId="0000003F">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40">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41">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Manager</w:t>
            </w:r>
          </w:p>
          <w:p w:rsidR="00000000" w:rsidDel="00000000" w:rsidP="00000000" w:rsidRDefault="00000000" w:rsidRPr="00000000" w14:paraId="00000042">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Word of Mouth</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8">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49">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4A">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Manager</w:t>
            </w:r>
          </w:p>
          <w:p w:rsidR="00000000" w:rsidDel="00000000" w:rsidP="00000000" w:rsidRDefault="00000000" w:rsidRPr="00000000" w14:paraId="0000004B">
            <w:pPr>
              <w:ind w:left="140" w:right="140" w:firstLine="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Greater Public website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Greaterpublic.org</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401 North 3rd Street, Suite 370</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Minneapolis, MN  55401</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1-888-454-2314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0</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5">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56">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38"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Media Jobs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https://jobs.current.org/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E">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5F">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60">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Manager</w:t>
            </w:r>
          </w:p>
          <w:p w:rsidR="00000000" w:rsidDel="00000000" w:rsidP="00000000" w:rsidRDefault="00000000" w:rsidRPr="00000000" w14:paraId="00000061">
            <w:pPr>
              <w:ind w:left="140" w:right="14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2">
      <w:pPr>
        <w:rPr>
          <w:rFonts w:ascii="Arial" w:cs="Arial" w:eastAsia="Arial" w:hAnsi="Arial"/>
        </w:rPr>
      </w:pPr>
      <w:r w:rsidDel="00000000" w:rsidR="00000000" w:rsidRPr="00000000">
        <w:rPr>
          <w:rtl w:val="0"/>
        </w:rPr>
      </w:r>
    </w:p>
    <w:tbl>
      <w:tblPr>
        <w:tblStyle w:val="Table4"/>
        <w:tblW w:w="9615.0" w:type="dxa"/>
        <w:jc w:val="left"/>
        <w:tblLayout w:type="fixed"/>
        <w:tblLook w:val="0400"/>
      </w:tblPr>
      <w:tblGrid>
        <w:gridCol w:w="780"/>
        <w:gridCol w:w="4785"/>
        <w:gridCol w:w="900"/>
        <w:gridCol w:w="3150"/>
        <w:tblGridChange w:id="0">
          <w:tblGrid>
            <w:gridCol w:w="780"/>
            <w:gridCol w:w="4785"/>
            <w:gridCol w:w="900"/>
            <w:gridCol w:w="31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CPB Jobline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www.cpb.org/jobline</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Corporation for Public Broadcasting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401 Ninth Street, NW</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Washington, DC 20004-2129</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202-879-9600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0</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0">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p w:rsidR="00000000" w:rsidDel="00000000" w:rsidP="00000000" w:rsidRDefault="00000000" w:rsidRPr="00000000" w14:paraId="00000071">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72">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73">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Manager</w:t>
            </w:r>
          </w:p>
          <w:p w:rsidR="00000000" w:rsidDel="00000000" w:rsidP="00000000" w:rsidRDefault="00000000" w:rsidRPr="00000000" w14:paraId="00000074">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VAFRE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vafre.org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Director of Fundraising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LinkedIn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7F">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p w:rsidR="00000000" w:rsidDel="00000000" w:rsidP="00000000" w:rsidRDefault="00000000" w:rsidRPr="00000000" w14:paraId="00000080">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81">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Facebook</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89">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p w:rsidR="00000000" w:rsidDel="00000000" w:rsidP="00000000" w:rsidRDefault="00000000" w:rsidRPr="00000000" w14:paraId="0000008A">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 Director</w:t>
            </w:r>
          </w:p>
          <w:p w:rsidR="00000000" w:rsidDel="00000000" w:rsidP="00000000" w:rsidRDefault="00000000" w:rsidRPr="00000000" w14:paraId="0000008B">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Fundraising</w:t>
            </w:r>
          </w:p>
          <w:p w:rsidR="00000000" w:rsidDel="00000000" w:rsidP="00000000" w:rsidRDefault="00000000" w:rsidRPr="00000000" w14:paraId="0000008C">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Manager</w:t>
            </w:r>
          </w:p>
          <w:p w:rsidR="00000000" w:rsidDel="00000000" w:rsidP="00000000" w:rsidRDefault="00000000" w:rsidRPr="00000000" w14:paraId="0000008D">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Sales Associate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11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Instagram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0" w:right="140" w:firstLine="0"/>
              <w:jc w:val="left"/>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91">
            <w:pPr>
              <w:ind w:left="140" w:righ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Serv. Traffic Coord</w:t>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Section 3:</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Community Outreach Efforts</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 xml:space="preserve">WNRN recruits and retains volunteers for on air shifts. The training of volunteers starts with voice tracking. This includes learning the contents and order of a break, and work towards a conversational style while going through the scripts and branding statements. Once well versed in voice tracking and has a command of break elements, volunteers are trained to do an on-air shift.  All volunteers must understand the FCC requires of a transmitter operator.  Volunteers are critiqued by staff to improve their overall on-air performance.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 xml:space="preserve">Our on-going semester internship program welcomes students from area universities and colleges who are motivated and excited about learning and contributing to community radio. Their internship is endorsed, supported and monitored by the sponsoring university. Students receive course credit for their work with WNRN upon completion of each semester. WNRN offers internships for spring, summer and fall semesters. During this reporting period, WNRN has had </w:t>
      </w:r>
      <w:r w:rsidDel="00000000" w:rsidR="00000000" w:rsidRPr="00000000">
        <w:rPr>
          <w:rFonts w:ascii="Arial" w:cs="Arial" w:eastAsia="Arial" w:hAnsi="Arial"/>
          <w:sz w:val="22"/>
          <w:szCs w:val="22"/>
          <w:rtl w:val="0"/>
        </w:rPr>
        <w:t xml:space="preserve">four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 interns. </w:t>
      </w:r>
      <w:r w:rsidDel="00000000" w:rsidR="00000000" w:rsidRPr="00000000">
        <w:rPr>
          <w:rFonts w:ascii="Arial" w:cs="Arial" w:eastAsia="Arial" w:hAnsi="Arial"/>
          <w:sz w:val="22"/>
          <w:szCs w:val="22"/>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internship for the summer, </w:t>
      </w:r>
      <w:r w:rsidDel="00000000" w:rsidR="00000000" w:rsidRPr="00000000">
        <w:rPr>
          <w:rFonts w:ascii="Arial" w:cs="Arial" w:eastAsia="Arial" w:hAnsi="Arial"/>
          <w:sz w:val="22"/>
          <w:szCs w:val="22"/>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internships for the fall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WNRN interns learn administrative and marketing skills, help manage our music and winner databases, create Facebook events, edit podcasts, and update the WNRN website.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tab/>
        <w:t xml:space="preserve">WNRN encourages station employees to attend training conferences and events hosted by non-commercial radio trade or music organizations. This year we attended South by Southwest Public Radio Day, NonComvention, PMDMC, International Bluegrass Music Association, Americana Fest, and Triple A Summit Fest. Various online webinars were also attended by staff.</w:t>
      </w:r>
      <w:r w:rsidDel="00000000" w:rsidR="00000000" w:rsidRPr="00000000">
        <w:rPr>
          <w:rtl w:val="0"/>
        </w:rPr>
      </w:r>
    </w:p>
    <w:p w:rsidR="00000000" w:rsidDel="00000000" w:rsidP="00000000" w:rsidRDefault="00000000" w:rsidRPr="00000000" w14:paraId="0000009C">
      <w:pPr>
        <w:rPr>
          <w:color w:val="ff000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465E"/>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Footer" w:customStyle="1">
    <w:name w:val="Header &amp; Footer"/>
    <w:autoRedefine w:val="1"/>
    <w:rsid w:val="00E6465E"/>
    <w:pPr>
      <w:tabs>
        <w:tab w:val="right" w:pos="9360"/>
      </w:tabs>
      <w:spacing w:after="0" w:line="240" w:lineRule="auto"/>
    </w:pPr>
    <w:rPr>
      <w:rFonts w:ascii="Helvetica" w:cs="Times New Roman" w:eastAsia="ヒラギノ角ゴ Pro W3" w:hAnsi="Helvetica"/>
      <w:color w:val="000000"/>
      <w:sz w:val="20"/>
      <w:szCs w:val="20"/>
    </w:rPr>
  </w:style>
  <w:style w:type="character" w:styleId="Hyperlink">
    <w:name w:val="Hyperlink"/>
    <w:uiPriority w:val="99"/>
    <w:rsid w:val="00E6465E"/>
    <w:rPr>
      <w:color w:val="0000ff"/>
      <w:u w:val="single"/>
    </w:rPr>
  </w:style>
  <w:style w:type="paragraph" w:styleId="NormalWeb">
    <w:name w:val="Normal (Web)"/>
    <w:basedOn w:val="Normal"/>
    <w:uiPriority w:val="99"/>
    <w:unhideWhenUsed w:val="1"/>
    <w:rsid w:val="00E6465E"/>
    <w:pPr>
      <w:spacing w:after="100" w:afterAutospacing="1" w:before="100" w:beforeAutospacing="1"/>
    </w:pPr>
  </w:style>
  <w:style w:type="character" w:styleId="apple-tab-span" w:customStyle="1">
    <w:name w:val="apple-tab-span"/>
    <w:rsid w:val="00E646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pb.org/jobline"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J3TRjzxhPa11Mkb6z8IJNBc6g==">CgMxLjAyCGguZ2pkZ3hzOAByITFaYWhkVUFlaElfM0g0QjBDazV3OUNoRUpIbEd0eWVhcw==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2024-05-30T14:32:00Z</dcterms:created>
  <dc:creator>Ann Voss</dc:creator>
</cp:coreProperties>
</file>